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420" w:rsidRDefault="000F3AA9" w:rsidP="000F3AA9">
      <w:pPr>
        <w:spacing w:after="0" w:line="360" w:lineRule="auto"/>
      </w:pPr>
      <w:r>
        <w:t>Elle Mileti</w:t>
      </w:r>
    </w:p>
    <w:p w:rsidR="000F3AA9" w:rsidRDefault="000F3AA9" w:rsidP="000F3AA9">
      <w:pPr>
        <w:spacing w:after="0" w:line="360" w:lineRule="auto"/>
      </w:pPr>
      <w:r>
        <w:t>Sustainability Problems – STSS 4270</w:t>
      </w:r>
    </w:p>
    <w:p w:rsidR="000F3AA9" w:rsidRDefault="000F3AA9" w:rsidP="000F3AA9">
      <w:pPr>
        <w:spacing w:after="0" w:line="360" w:lineRule="auto"/>
      </w:pPr>
      <w:r>
        <w:t>Fall 2012, Costelloe-Kuehn</w:t>
      </w:r>
    </w:p>
    <w:p w:rsidR="000F3AA9" w:rsidRDefault="000F3AA9" w:rsidP="000F3AA9">
      <w:pPr>
        <w:spacing w:after="0" w:line="360" w:lineRule="auto"/>
      </w:pPr>
      <w:r>
        <w:t>11 September 2012</w:t>
      </w:r>
    </w:p>
    <w:p w:rsidR="000F3AA9" w:rsidRDefault="000F3AA9" w:rsidP="000F3AA9">
      <w:pPr>
        <w:spacing w:after="0" w:line="360" w:lineRule="auto"/>
      </w:pPr>
    </w:p>
    <w:p w:rsidR="000F3AA9" w:rsidRDefault="00635E17" w:rsidP="00635E17">
      <w:pPr>
        <w:spacing w:after="0" w:line="360" w:lineRule="auto"/>
        <w:jc w:val="both"/>
        <w:rPr>
          <w:i/>
        </w:rPr>
      </w:pPr>
      <w:r w:rsidRPr="00635E17">
        <w:rPr>
          <w:i/>
        </w:rPr>
        <w:t>The traditional, thin plastic bag, though increasingly demonized and taxed, has better environmental performance and is likely to be considerably safer for human health than alternatives. – Kenneth Green</w:t>
      </w:r>
    </w:p>
    <w:p w:rsidR="00635E17" w:rsidRDefault="00635E17" w:rsidP="000F3AA9">
      <w:pPr>
        <w:spacing w:after="0" w:line="360" w:lineRule="auto"/>
        <w:rPr>
          <w:i/>
        </w:rPr>
      </w:pPr>
    </w:p>
    <w:p w:rsidR="00635E17" w:rsidRDefault="00635E17" w:rsidP="00635E17">
      <w:pPr>
        <w:spacing w:after="0" w:line="360" w:lineRule="auto"/>
        <w:jc w:val="both"/>
      </w:pPr>
      <w:r>
        <w:t>It should be first understood that the debate between reusable carrier bags versus the traditional plastic bags is</w:t>
      </w:r>
      <w:r w:rsidRPr="00635E17">
        <w:rPr>
          <w:i/>
        </w:rPr>
        <w:t xml:space="preserve"> not</w:t>
      </w:r>
      <w:r>
        <w:rPr>
          <w:i/>
        </w:rPr>
        <w:t xml:space="preserve"> </w:t>
      </w:r>
      <w:r>
        <w:t>a debate between environmentalism and capitalism. In fact, there is never a debate between environmentalism and capitalism as the two are concepts that can no more be compared than driving a car can be paralleled to the emotion of love. They can, however, overlap; much like how one can love her car, one can make capitalistic profit while promoting and progressing the sustainability movement.</w:t>
      </w:r>
    </w:p>
    <w:p w:rsidR="00635E17" w:rsidRDefault="00635E17" w:rsidP="00635E17">
      <w:pPr>
        <w:spacing w:after="0" w:line="360" w:lineRule="auto"/>
        <w:jc w:val="both"/>
      </w:pPr>
    </w:p>
    <w:p w:rsidR="00F82C19" w:rsidRDefault="008A51BF" w:rsidP="00F82C19">
      <w:pPr>
        <w:spacing w:after="0" w:line="360" w:lineRule="auto"/>
        <w:jc w:val="both"/>
      </w:pPr>
      <w:r>
        <w:t>This paper is intended to bring to light a</w:t>
      </w:r>
      <w:r w:rsidR="00514CBC">
        <w:t xml:space="preserve"> detrimental cultural phenomenon that brings more harm than good to the environmental movement: a lack of understanding when it comes to human products. When it comes to sustainability, scientific data should not be overlooked for argument’s sake. The objective should be progress and </w:t>
      </w:r>
      <w:r w:rsidR="00C07753">
        <w:t xml:space="preserve">regardless of whether or not </w:t>
      </w:r>
      <w:r w:rsidR="00514CBC">
        <w:t xml:space="preserve">that means </w:t>
      </w:r>
      <w:r w:rsidR="00C07753">
        <w:t>reevaluating current policy or returning to prior policies and practices, such action should be taken and not substituted by feel-good means. Eliminating factors results in equations that don’t parallel actual circumstances and mean nothing when it comes down to it. Additionally, new doesn’t always mean better, and more importantly, old doesn’t always mean worse. If it becomes practice to try and best understand the entire equation for sustainability true progress can be made.</w:t>
      </w:r>
      <w:r w:rsidR="00F82C19">
        <w:t xml:space="preserve"> </w:t>
      </w:r>
    </w:p>
    <w:p w:rsidR="00F82C19" w:rsidRDefault="00F82C19" w:rsidP="00F82C19">
      <w:pPr>
        <w:spacing w:after="0" w:line="360" w:lineRule="auto"/>
        <w:jc w:val="both"/>
      </w:pPr>
    </w:p>
    <w:p w:rsidR="00463939" w:rsidRDefault="00F82C19" w:rsidP="00F82C19">
      <w:pPr>
        <w:spacing w:after="0" w:line="360" w:lineRule="auto"/>
        <w:jc w:val="both"/>
      </w:pPr>
      <w:r>
        <w:t xml:space="preserve">This crucial need for understanding is exemplified in the following argument for the continued use of plastic carrier bags when grocery shopping. The goal isn’t to halt </w:t>
      </w:r>
      <w:r w:rsidR="00463939">
        <w:t>innovation;</w:t>
      </w:r>
      <w:r>
        <w:t xml:space="preserve"> it is to optimize it by efficiently directing focus towards actual solutions and realizing when</w:t>
      </w:r>
      <w:r w:rsidR="00463939">
        <w:t xml:space="preserve"> attempted corrective action is actually more harmful.</w:t>
      </w:r>
    </w:p>
    <w:p w:rsidR="00463939" w:rsidRDefault="00463939" w:rsidP="00F82C19">
      <w:pPr>
        <w:spacing w:after="0" w:line="360" w:lineRule="auto"/>
        <w:jc w:val="both"/>
      </w:pPr>
    </w:p>
    <w:p w:rsidR="00D102C8" w:rsidRDefault="00DD2D71" w:rsidP="00F82C19">
      <w:pPr>
        <w:spacing w:after="0" w:line="360" w:lineRule="auto"/>
        <w:jc w:val="both"/>
      </w:pPr>
      <w:r>
        <w:t xml:space="preserve">There are two </w:t>
      </w:r>
      <w:r w:rsidR="00312B48">
        <w:t>substantial arguments for the continued use of traditional plastic shopping bags over the trending reusable ones: the spread of disease and carbon footprint. Recent studies</w:t>
      </w:r>
      <w:r w:rsidR="00EC12D2">
        <w:rPr>
          <w:vertAlign w:val="superscript"/>
        </w:rPr>
        <w:t>1</w:t>
      </w:r>
      <w:r w:rsidR="00312B48">
        <w:t xml:space="preserve"> have brought to light the disgusting truth that reusable shopping bags are breeding grounds for dangerous microbes. </w:t>
      </w:r>
      <w:r w:rsidR="00312B48">
        <w:lastRenderedPageBreak/>
        <w:t xml:space="preserve">When shoppers put things into their bags, they can contaminate the bag which then in turn can contaminate previously uncontaminated food. </w:t>
      </w:r>
      <w:r w:rsidR="00D102C8">
        <w:t>Furthermore</w:t>
      </w:r>
      <w:r w:rsidR="00312B48">
        <w:t>, even individually packaged food can easily become contaminated</w:t>
      </w:r>
      <w:r w:rsidR="00EC12D2">
        <w:rPr>
          <w:vertAlign w:val="superscript"/>
        </w:rPr>
        <w:t>2</w:t>
      </w:r>
      <w:r w:rsidR="00312B48">
        <w:t xml:space="preserve"> through human contact with first the bag and then the food. </w:t>
      </w:r>
      <w:r w:rsidR="00EC12D2">
        <w:t>Direct contact between sick persons is not necessary for the spread of disease and common human practice easily adds to the risk</w:t>
      </w:r>
      <w:r w:rsidR="00EC12D2">
        <w:rPr>
          <w:vertAlign w:val="superscript"/>
        </w:rPr>
        <w:t>3</w:t>
      </w:r>
      <w:r w:rsidR="00EC12D2">
        <w:t>. For example, few people are found to separate vegetables and raw meat into different bags</w:t>
      </w:r>
      <w:r w:rsidR="002508E3">
        <w:t xml:space="preserve"> and most people store their bags at home or in the car between uses</w:t>
      </w:r>
      <w:r w:rsidR="00D102C8">
        <w:t>,</w:t>
      </w:r>
      <w:r w:rsidR="004E3EC6">
        <w:t xml:space="preserve"> subjecting them to war</w:t>
      </w:r>
      <w:r w:rsidR="00D102C8">
        <w:t>mer temperatures which increase</w:t>
      </w:r>
      <w:r w:rsidR="004E3EC6">
        <w:t xml:space="preserve"> bacterial growth</w:t>
      </w:r>
      <w:r w:rsidR="00D102C8">
        <w:rPr>
          <w:vertAlign w:val="superscript"/>
        </w:rPr>
        <w:t>4</w:t>
      </w:r>
      <w:r w:rsidR="002508E3">
        <w:t>.</w:t>
      </w:r>
      <w:r w:rsidR="00D102C8">
        <w:t xml:space="preserve"> Most upsettingly, it was found that only about 3% of people ever clean their reusable bags</w:t>
      </w:r>
      <w:r w:rsidR="00D102C8">
        <w:rPr>
          <w:vertAlign w:val="superscript"/>
        </w:rPr>
        <w:t>5</w:t>
      </w:r>
      <w:r w:rsidR="00D102C8">
        <w:t xml:space="preserve">. </w:t>
      </w:r>
    </w:p>
    <w:p w:rsidR="00D102C8" w:rsidRDefault="00D102C8" w:rsidP="00F82C19">
      <w:pPr>
        <w:spacing w:after="0" w:line="360" w:lineRule="auto"/>
        <w:jc w:val="both"/>
      </w:pPr>
    </w:p>
    <w:p w:rsidR="00366035" w:rsidRDefault="00D102C8" w:rsidP="00F82C19">
      <w:pPr>
        <w:spacing w:after="0" w:line="360" w:lineRule="auto"/>
        <w:jc w:val="both"/>
      </w:pPr>
      <w:r>
        <w:t>In addition to health concerns, a “cradle to grave” life</w:t>
      </w:r>
      <w:r w:rsidR="00366035">
        <w:t xml:space="preserve"> </w:t>
      </w:r>
      <w:r>
        <w:t>cycle assessment</w:t>
      </w:r>
      <w:r w:rsidR="00366035">
        <w:t xml:space="preserve"> (LCA)</w:t>
      </w:r>
      <w:r>
        <w:t xml:space="preserve"> compare</w:t>
      </w:r>
      <w:r w:rsidR="00366035">
        <w:t>d</w:t>
      </w:r>
      <w:r>
        <w:t xml:space="preserve"> the environmental impact of traditional shopping bags to six other types of bag</w:t>
      </w:r>
      <w:r>
        <w:rPr>
          <w:vertAlign w:val="superscript"/>
        </w:rPr>
        <w:t>6</w:t>
      </w:r>
      <w:r>
        <w:t xml:space="preserve">. </w:t>
      </w:r>
      <w:r w:rsidR="00366035">
        <w:t>LCA identifies the material and energy usage, emissions and waste flows of a product, process, or service over its entire life cycle</w:t>
      </w:r>
      <w:r>
        <w:t xml:space="preserve"> </w:t>
      </w:r>
      <w:r w:rsidR="00366035">
        <w:t xml:space="preserve">to determine its environmental performance. Taking into account all the significant life cycle stages from raw material extraction, through manufacture, distribution, use and reuse, to the final management of the carrier bag as waste, </w:t>
      </w:r>
      <w:r w:rsidR="00317274">
        <w:t xml:space="preserve">the study </w:t>
      </w:r>
      <w:r w:rsidR="00366035">
        <w:t>actually showcases that since lifecycle impact is dictated by raw material extraction and bag production</w:t>
      </w:r>
      <w:r w:rsidR="00366035">
        <w:rPr>
          <w:vertAlign w:val="superscript"/>
        </w:rPr>
        <w:t>7</w:t>
      </w:r>
      <w:r w:rsidR="00366035">
        <w:t xml:space="preserve">, reusable carrier bags have a much greater </w:t>
      </w:r>
      <w:r w:rsidR="00F275D7">
        <w:t>global warming potential</w:t>
      </w:r>
      <w:r w:rsidR="00366035">
        <w:t xml:space="preserve"> than traditional plastic bags</w:t>
      </w:r>
      <w:r w:rsidR="00366035">
        <w:rPr>
          <w:vertAlign w:val="superscript"/>
        </w:rPr>
        <w:t>8</w:t>
      </w:r>
      <w:r w:rsidR="00366035">
        <w:t>.</w:t>
      </w:r>
    </w:p>
    <w:p w:rsidR="00635E17" w:rsidRDefault="00366035" w:rsidP="00366035">
      <w:pPr>
        <w:spacing w:after="0" w:line="360" w:lineRule="auto"/>
        <w:jc w:val="center"/>
      </w:pPr>
      <w:r>
        <w:rPr>
          <w:noProof/>
        </w:rPr>
        <w:drawing>
          <wp:inline distT="0" distB="0" distL="0" distR="0" wp14:anchorId="74C95BAB" wp14:editId="6BCEB1DE">
            <wp:extent cx="5715000" cy="1257300"/>
            <wp:effectExtent l="0" t="0" r="0" b="0"/>
            <wp:docPr id="1" name="Picture 1" descr="Hayward 3.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yward 3.25.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1257300"/>
                    </a:xfrm>
                    <a:prstGeom prst="rect">
                      <a:avLst/>
                    </a:prstGeom>
                    <a:noFill/>
                    <a:ln>
                      <a:noFill/>
                    </a:ln>
                  </pic:spPr>
                </pic:pic>
              </a:graphicData>
            </a:graphic>
          </wp:inline>
        </w:drawing>
      </w:r>
    </w:p>
    <w:p w:rsidR="00F275D7" w:rsidRDefault="00F275D7" w:rsidP="00F275D7">
      <w:pPr>
        <w:autoSpaceDE w:val="0"/>
        <w:autoSpaceDN w:val="0"/>
        <w:adjustRightInd w:val="0"/>
        <w:spacing w:after="0" w:line="240" w:lineRule="auto"/>
        <w:jc w:val="both"/>
        <w:rPr>
          <w:rFonts w:cstheme="minorHAnsi"/>
          <w:b/>
          <w:bCs/>
        </w:rPr>
      </w:pPr>
      <w:r w:rsidRPr="00F275D7">
        <w:rPr>
          <w:rFonts w:cstheme="minorHAnsi"/>
          <w:b/>
        </w:rPr>
        <w:t xml:space="preserve">Figure: </w:t>
      </w:r>
      <w:r w:rsidRPr="00F275D7">
        <w:rPr>
          <w:rFonts w:cstheme="minorHAnsi"/>
          <w:b/>
          <w:bCs/>
        </w:rPr>
        <w:t>The amount of primary use required to take reusable bags below the global</w:t>
      </w:r>
      <w:r>
        <w:rPr>
          <w:rFonts w:cstheme="minorHAnsi"/>
          <w:b/>
          <w:bCs/>
        </w:rPr>
        <w:t xml:space="preserve"> </w:t>
      </w:r>
      <w:r w:rsidRPr="00F275D7">
        <w:rPr>
          <w:rFonts w:cstheme="minorHAnsi"/>
          <w:b/>
          <w:bCs/>
        </w:rPr>
        <w:t>warming potential of HDPE bags with and without secondary reuse</w:t>
      </w:r>
      <w:r>
        <w:rPr>
          <w:rFonts w:cstheme="minorHAnsi"/>
          <w:b/>
          <w:bCs/>
          <w:vertAlign w:val="superscript"/>
        </w:rPr>
        <w:t>9</w:t>
      </w:r>
      <w:r>
        <w:rPr>
          <w:rFonts w:cstheme="minorHAnsi"/>
          <w:b/>
          <w:bCs/>
        </w:rPr>
        <w:t>.</w:t>
      </w:r>
    </w:p>
    <w:p w:rsidR="00F275D7" w:rsidRDefault="00F275D7" w:rsidP="00F275D7">
      <w:pPr>
        <w:autoSpaceDE w:val="0"/>
        <w:autoSpaceDN w:val="0"/>
        <w:adjustRightInd w:val="0"/>
        <w:spacing w:after="0" w:line="240" w:lineRule="auto"/>
        <w:jc w:val="both"/>
        <w:rPr>
          <w:rFonts w:cstheme="minorHAnsi"/>
          <w:b/>
          <w:bCs/>
        </w:rPr>
      </w:pPr>
    </w:p>
    <w:p w:rsidR="00F275D7" w:rsidRDefault="00F57A34" w:rsidP="00F57A34">
      <w:pPr>
        <w:autoSpaceDE w:val="0"/>
        <w:autoSpaceDN w:val="0"/>
        <w:adjustRightInd w:val="0"/>
        <w:spacing w:after="0" w:line="360" w:lineRule="auto"/>
        <w:jc w:val="both"/>
        <w:rPr>
          <w:rFonts w:cstheme="minorHAnsi"/>
        </w:rPr>
      </w:pPr>
      <w:r>
        <w:rPr>
          <w:rFonts w:cstheme="minorHAnsi"/>
        </w:rPr>
        <w:t xml:space="preserve">Such study, as of the environmental performance of reusable versus traditional carrier bags, shows that when evaluating the impact of a product it is critically important to look at all stages of product life cycle. If stages are eliminated from assessment, time, money, and other resources are wasted on ineffective or even counter-effective measures to achieving true sustainability.   </w:t>
      </w:r>
    </w:p>
    <w:p w:rsidR="00AA3F36" w:rsidRDefault="00AA3F36" w:rsidP="00F57A34">
      <w:pPr>
        <w:autoSpaceDE w:val="0"/>
        <w:autoSpaceDN w:val="0"/>
        <w:adjustRightInd w:val="0"/>
        <w:spacing w:after="0" w:line="360" w:lineRule="auto"/>
        <w:jc w:val="both"/>
        <w:rPr>
          <w:rFonts w:cstheme="minorHAnsi"/>
        </w:rPr>
      </w:pPr>
    </w:p>
    <w:p w:rsidR="000C05DF" w:rsidRDefault="000C05DF" w:rsidP="00F57A34">
      <w:pPr>
        <w:autoSpaceDE w:val="0"/>
        <w:autoSpaceDN w:val="0"/>
        <w:adjustRightInd w:val="0"/>
        <w:spacing w:after="0" w:line="360" w:lineRule="auto"/>
        <w:jc w:val="both"/>
        <w:rPr>
          <w:rFonts w:cstheme="minorHAnsi"/>
          <w:b/>
          <w:i/>
        </w:rPr>
      </w:pPr>
      <w:r>
        <w:rPr>
          <w:rFonts w:cstheme="minorHAnsi"/>
          <w:b/>
          <w:i/>
        </w:rPr>
        <w:t xml:space="preserve">Materials </w:t>
      </w:r>
      <w:bookmarkStart w:id="0" w:name="_GoBack"/>
      <w:bookmarkEnd w:id="0"/>
      <w:r>
        <w:rPr>
          <w:rFonts w:cstheme="minorHAnsi"/>
          <w:b/>
          <w:i/>
        </w:rPr>
        <w:t>Abbreviations</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t xml:space="preserve">HDPE </w:t>
      </w:r>
      <w:r>
        <w:rPr>
          <w:rFonts w:cstheme="minorHAnsi"/>
        </w:rPr>
        <w:t xml:space="preserve">- </w:t>
      </w:r>
      <w:r w:rsidRPr="000C05DF">
        <w:rPr>
          <w:rFonts w:cstheme="minorHAnsi"/>
        </w:rPr>
        <w:t>High density polyethylene</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t xml:space="preserve">LDPE </w:t>
      </w:r>
      <w:r>
        <w:rPr>
          <w:rFonts w:cstheme="minorHAnsi"/>
        </w:rPr>
        <w:t xml:space="preserve"> - </w:t>
      </w:r>
      <w:r w:rsidRPr="000C05DF">
        <w:rPr>
          <w:rFonts w:cstheme="minorHAnsi"/>
        </w:rPr>
        <w:t>Low density polyethylene</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lastRenderedPageBreak/>
        <w:t xml:space="preserve">LLDPE </w:t>
      </w:r>
      <w:r>
        <w:rPr>
          <w:rFonts w:cstheme="minorHAnsi"/>
        </w:rPr>
        <w:t xml:space="preserve">- </w:t>
      </w:r>
      <w:r w:rsidRPr="000C05DF">
        <w:rPr>
          <w:rFonts w:cstheme="minorHAnsi"/>
        </w:rPr>
        <w:t>Linear low density polyethylene</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t xml:space="preserve">PA </w:t>
      </w:r>
      <w:r>
        <w:rPr>
          <w:rFonts w:cstheme="minorHAnsi"/>
        </w:rPr>
        <w:t xml:space="preserve">- </w:t>
      </w:r>
      <w:r w:rsidRPr="000C05DF">
        <w:rPr>
          <w:rFonts w:cstheme="minorHAnsi"/>
        </w:rPr>
        <w:t>Polyamide</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t xml:space="preserve">PE </w:t>
      </w:r>
      <w:r>
        <w:rPr>
          <w:rFonts w:cstheme="minorHAnsi"/>
        </w:rPr>
        <w:t xml:space="preserve">- </w:t>
      </w:r>
      <w:r w:rsidRPr="000C05DF">
        <w:rPr>
          <w:rFonts w:cstheme="minorHAnsi"/>
        </w:rPr>
        <w:t>Polyethylene</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t xml:space="preserve">PET </w:t>
      </w:r>
      <w:r>
        <w:rPr>
          <w:rFonts w:cstheme="minorHAnsi"/>
        </w:rPr>
        <w:t xml:space="preserve">- </w:t>
      </w:r>
      <w:r w:rsidRPr="000C05DF">
        <w:rPr>
          <w:rFonts w:cstheme="minorHAnsi"/>
        </w:rPr>
        <w:t>Polyethylene terephthalate</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t xml:space="preserve">PLA </w:t>
      </w:r>
      <w:r>
        <w:rPr>
          <w:rFonts w:cstheme="minorHAnsi"/>
        </w:rPr>
        <w:t xml:space="preserve">- </w:t>
      </w:r>
      <w:r w:rsidRPr="000C05DF">
        <w:rPr>
          <w:rFonts w:cstheme="minorHAnsi"/>
        </w:rPr>
        <w:t>Polylactic Acid</w:t>
      </w:r>
    </w:p>
    <w:p w:rsidR="000C05DF" w:rsidRPr="000C05DF" w:rsidRDefault="000C05DF" w:rsidP="000C05DF">
      <w:pPr>
        <w:autoSpaceDE w:val="0"/>
        <w:autoSpaceDN w:val="0"/>
        <w:adjustRightInd w:val="0"/>
        <w:spacing w:after="0" w:line="240" w:lineRule="auto"/>
        <w:rPr>
          <w:rFonts w:cstheme="minorHAnsi"/>
        </w:rPr>
      </w:pPr>
      <w:r w:rsidRPr="000C05DF">
        <w:rPr>
          <w:rFonts w:cstheme="minorHAnsi"/>
        </w:rPr>
        <w:t xml:space="preserve">PP </w:t>
      </w:r>
      <w:r>
        <w:rPr>
          <w:rFonts w:cstheme="minorHAnsi"/>
        </w:rPr>
        <w:t xml:space="preserve">- </w:t>
      </w:r>
      <w:r w:rsidRPr="000C05DF">
        <w:rPr>
          <w:rFonts w:cstheme="minorHAnsi"/>
        </w:rPr>
        <w:t>Polypropylene</w:t>
      </w:r>
    </w:p>
    <w:p w:rsidR="000C05DF" w:rsidRPr="000C05DF" w:rsidRDefault="000C05DF" w:rsidP="000C05DF">
      <w:pPr>
        <w:autoSpaceDE w:val="0"/>
        <w:autoSpaceDN w:val="0"/>
        <w:adjustRightInd w:val="0"/>
        <w:spacing w:after="0" w:line="360" w:lineRule="auto"/>
        <w:jc w:val="both"/>
        <w:rPr>
          <w:rFonts w:cstheme="minorHAnsi"/>
          <w:i/>
        </w:rPr>
      </w:pPr>
      <w:r w:rsidRPr="000C05DF">
        <w:rPr>
          <w:rFonts w:cstheme="minorHAnsi"/>
        </w:rPr>
        <w:t xml:space="preserve">PVC </w:t>
      </w:r>
      <w:r>
        <w:rPr>
          <w:rFonts w:cstheme="minorHAnsi"/>
        </w:rPr>
        <w:t xml:space="preserve">- </w:t>
      </w:r>
      <w:r w:rsidRPr="000C05DF">
        <w:rPr>
          <w:rFonts w:cstheme="minorHAnsi"/>
        </w:rPr>
        <w:t>Polyvinyl chloride</w:t>
      </w:r>
    </w:p>
    <w:p w:rsidR="000C05DF" w:rsidRDefault="000C05DF" w:rsidP="00F57A34">
      <w:pPr>
        <w:autoSpaceDE w:val="0"/>
        <w:autoSpaceDN w:val="0"/>
        <w:adjustRightInd w:val="0"/>
        <w:spacing w:after="0" w:line="360" w:lineRule="auto"/>
        <w:jc w:val="both"/>
        <w:rPr>
          <w:rFonts w:cstheme="minorHAnsi"/>
          <w:b/>
          <w:i/>
        </w:rPr>
      </w:pPr>
    </w:p>
    <w:p w:rsidR="00AA3F36" w:rsidRDefault="00AA3F36" w:rsidP="00F57A34">
      <w:pPr>
        <w:autoSpaceDE w:val="0"/>
        <w:autoSpaceDN w:val="0"/>
        <w:adjustRightInd w:val="0"/>
        <w:spacing w:after="0" w:line="360" w:lineRule="auto"/>
        <w:jc w:val="both"/>
        <w:rPr>
          <w:rFonts w:cstheme="minorHAnsi"/>
          <w:b/>
          <w:i/>
        </w:rPr>
      </w:pPr>
      <w:r w:rsidRPr="00AA3F36">
        <w:rPr>
          <w:rFonts w:cstheme="minorHAnsi"/>
          <w:b/>
          <w:i/>
        </w:rPr>
        <w:t>Footnotes</w:t>
      </w:r>
    </w:p>
    <w:p w:rsidR="00AA3F36" w:rsidRDefault="00AA3F36" w:rsidP="00F57A34">
      <w:pPr>
        <w:autoSpaceDE w:val="0"/>
        <w:autoSpaceDN w:val="0"/>
        <w:adjustRightInd w:val="0"/>
        <w:spacing w:after="0" w:line="360" w:lineRule="auto"/>
        <w:jc w:val="both"/>
      </w:pPr>
      <w:r>
        <w:rPr>
          <w:rFonts w:cstheme="minorHAnsi"/>
          <w:vertAlign w:val="superscript"/>
        </w:rPr>
        <w:t xml:space="preserve">1 </w:t>
      </w:r>
      <w:r w:rsidR="008044A3">
        <w:t>(Repp, and Keene</w:t>
      </w:r>
      <w:r>
        <w:t>)</w:t>
      </w:r>
      <w:r>
        <w:t xml:space="preserve">, </w:t>
      </w:r>
      <w:r w:rsidR="008044A3">
        <w:t>(Gerba, Williams, and Sinclair</w:t>
      </w:r>
      <w:r>
        <w:t>)</w:t>
      </w:r>
    </w:p>
    <w:p w:rsidR="00EF74D3" w:rsidRDefault="00EF74D3" w:rsidP="00F57A34">
      <w:pPr>
        <w:autoSpaceDE w:val="0"/>
        <w:autoSpaceDN w:val="0"/>
        <w:adjustRightInd w:val="0"/>
        <w:spacing w:after="0" w:line="360" w:lineRule="auto"/>
        <w:jc w:val="both"/>
      </w:pPr>
      <w:r>
        <w:rPr>
          <w:vertAlign w:val="superscript"/>
        </w:rPr>
        <w:t>2</w:t>
      </w:r>
      <w:r>
        <w:t xml:space="preserve"> (Repp, and Keene, page 2)</w:t>
      </w:r>
    </w:p>
    <w:p w:rsidR="00790583" w:rsidRDefault="00790583" w:rsidP="00F57A34">
      <w:pPr>
        <w:autoSpaceDE w:val="0"/>
        <w:autoSpaceDN w:val="0"/>
        <w:adjustRightInd w:val="0"/>
        <w:spacing w:after="0" w:line="360" w:lineRule="auto"/>
        <w:jc w:val="both"/>
      </w:pPr>
      <w:r>
        <w:rPr>
          <w:vertAlign w:val="superscript"/>
        </w:rPr>
        <w:t>3</w:t>
      </w:r>
      <w:r>
        <w:t xml:space="preserve"> </w:t>
      </w:r>
      <w:r>
        <w:t>(Gerba, Williams, and Sinclair</w:t>
      </w:r>
      <w:r>
        <w:t>, pages 5-8</w:t>
      </w:r>
      <w:r>
        <w:t>)</w:t>
      </w:r>
    </w:p>
    <w:p w:rsidR="007532A6" w:rsidRDefault="007532A6" w:rsidP="009D45DB">
      <w:pPr>
        <w:autoSpaceDE w:val="0"/>
        <w:autoSpaceDN w:val="0"/>
        <w:adjustRightInd w:val="0"/>
        <w:spacing w:after="0" w:line="360" w:lineRule="auto"/>
        <w:jc w:val="both"/>
      </w:pPr>
      <w:r>
        <w:rPr>
          <w:vertAlign w:val="superscript"/>
        </w:rPr>
        <w:t>4</w:t>
      </w:r>
      <w:r>
        <w:t xml:space="preserve"> </w:t>
      </w:r>
      <w:r>
        <w:rPr>
          <w:i/>
        </w:rPr>
        <w:t>“Bacteria in bags to which meat juices were added did grow within two hours of storage. Within this time the number of bacteria increased 10-fold when the temperature was 47</w:t>
      </w:r>
      <w:r>
        <w:rPr>
          <w:rFonts w:cstheme="minorHAnsi"/>
          <w:i/>
        </w:rPr>
        <w:t>°</w:t>
      </w:r>
      <w:r>
        <w:rPr>
          <w:i/>
        </w:rPr>
        <w:t>C [116.6</w:t>
      </w:r>
      <w:r>
        <w:rPr>
          <w:rFonts w:cstheme="minorHAnsi"/>
          <w:i/>
        </w:rPr>
        <w:t>°</w:t>
      </w:r>
      <w:r>
        <w:rPr>
          <w:i/>
        </w:rPr>
        <w:t xml:space="preserve">F] inside the trunk…warm temperatures and presence of food in the bags can encourage rapid growth of bacteria.” </w:t>
      </w:r>
      <w:r>
        <w:t>(Gerba, Williams, and Sinclair, page 11</w:t>
      </w:r>
      <w:r>
        <w:t>)</w:t>
      </w:r>
    </w:p>
    <w:p w:rsidR="00431FBA" w:rsidRDefault="00431FBA" w:rsidP="00F57A34">
      <w:pPr>
        <w:autoSpaceDE w:val="0"/>
        <w:autoSpaceDN w:val="0"/>
        <w:adjustRightInd w:val="0"/>
        <w:spacing w:after="0" w:line="360" w:lineRule="auto"/>
        <w:jc w:val="both"/>
      </w:pPr>
      <w:r>
        <w:rPr>
          <w:vertAlign w:val="superscript"/>
        </w:rPr>
        <w:t>5</w:t>
      </w:r>
      <w:r>
        <w:t xml:space="preserve"> </w:t>
      </w:r>
      <w:r>
        <w:t>(Gerba, Williams, and Sinclair</w:t>
      </w:r>
      <w:r>
        <w:t xml:space="preserve">, page </w:t>
      </w:r>
      <w:r>
        <w:t>8)</w:t>
      </w:r>
    </w:p>
    <w:p w:rsidR="00431FBA" w:rsidRDefault="000555A0" w:rsidP="009D45DB">
      <w:pPr>
        <w:autoSpaceDE w:val="0"/>
        <w:autoSpaceDN w:val="0"/>
        <w:adjustRightInd w:val="0"/>
        <w:spacing w:after="0" w:line="360" w:lineRule="auto"/>
        <w:jc w:val="both"/>
      </w:pPr>
      <w:r>
        <w:rPr>
          <w:vertAlign w:val="superscript"/>
        </w:rPr>
        <w:t>6</w:t>
      </w:r>
      <w:r>
        <w:t xml:space="preserve"> </w:t>
      </w:r>
      <w:r w:rsidR="001E3E58">
        <w:t>Bags studied: A conventional lightweight bag</w:t>
      </w:r>
      <w:r w:rsidR="001E3E58">
        <w:t xml:space="preserve"> made of high-density polyethylene (HDPE); an HDPE bag doped with a chemical to speed its degradation; a lightweight bag made from a biodegradable starch-polyester blend; a regular paper bag; a heavy-duty “bag for life” made from low-density polyethylene (LDPE); a heavier duty polypropylene bag; and a cotton bag</w:t>
      </w:r>
      <w:r w:rsidR="001E3E58">
        <w:t xml:space="preserve"> </w:t>
      </w:r>
      <w:r>
        <w:t xml:space="preserve">(Edwards, and Meyhoff Fry </w:t>
      </w:r>
      <w:r w:rsidR="008044A3">
        <w:t>pages 12-13</w:t>
      </w:r>
      <w:r>
        <w:t>)</w:t>
      </w:r>
    </w:p>
    <w:p w:rsidR="001E3E58" w:rsidRDefault="001E3E58" w:rsidP="009D45DB">
      <w:pPr>
        <w:autoSpaceDE w:val="0"/>
        <w:autoSpaceDN w:val="0"/>
        <w:adjustRightInd w:val="0"/>
        <w:spacing w:after="0" w:line="360" w:lineRule="auto"/>
        <w:jc w:val="both"/>
      </w:pPr>
      <w:r>
        <w:rPr>
          <w:vertAlign w:val="superscript"/>
        </w:rPr>
        <w:t>7</w:t>
      </w:r>
      <w:r>
        <w:t xml:space="preserve"> </w:t>
      </w:r>
      <w:r w:rsidRPr="001E3E58">
        <w:rPr>
          <w:i/>
        </w:rPr>
        <w:t>“</w:t>
      </w:r>
      <w:r w:rsidRPr="001E3E58">
        <w:rPr>
          <w:rFonts w:cstheme="minorHAnsi"/>
          <w:i/>
        </w:rPr>
        <w:t>The GWP of all of the carrier bags studied is dominated by raw material extraction and</w:t>
      </w:r>
      <w:r w:rsidRPr="001E3E58">
        <w:rPr>
          <w:rFonts w:cstheme="minorHAnsi"/>
          <w:i/>
        </w:rPr>
        <w:t xml:space="preserve"> </w:t>
      </w:r>
      <w:r w:rsidRPr="001E3E58">
        <w:rPr>
          <w:rFonts w:cstheme="minorHAnsi"/>
          <w:i/>
        </w:rPr>
        <w:t>production which ranges from 57 per cent of the impact for the starch polyester bag to 99</w:t>
      </w:r>
      <w:r w:rsidRPr="001E3E58">
        <w:rPr>
          <w:rFonts w:cstheme="minorHAnsi"/>
          <w:i/>
        </w:rPr>
        <w:t xml:space="preserve"> </w:t>
      </w:r>
      <w:r w:rsidRPr="001E3E58">
        <w:rPr>
          <w:rFonts w:cstheme="minorHAnsi"/>
          <w:i/>
        </w:rPr>
        <w:t>per cent for the cotton bag. This impact is normally due to the production of the most</w:t>
      </w:r>
      <w:r w:rsidRPr="001E3E58">
        <w:rPr>
          <w:rFonts w:cstheme="minorHAnsi"/>
          <w:i/>
        </w:rPr>
        <w:t xml:space="preserve"> </w:t>
      </w:r>
      <w:r w:rsidRPr="001E3E58">
        <w:rPr>
          <w:rFonts w:cstheme="minorHAnsi"/>
          <w:i/>
        </w:rPr>
        <w:t>prevalent material with 64 per cent of the HDPE bag impact generated directly from the</w:t>
      </w:r>
      <w:r w:rsidRPr="001E3E58">
        <w:rPr>
          <w:rFonts w:cstheme="minorHAnsi"/>
          <w:i/>
        </w:rPr>
        <w:t xml:space="preserve"> </w:t>
      </w:r>
      <w:r w:rsidRPr="001E3E58">
        <w:rPr>
          <w:rFonts w:cstheme="minorHAnsi"/>
          <w:i/>
        </w:rPr>
        <w:t>extraction and production of HDPE.</w:t>
      </w:r>
      <w:r w:rsidRPr="001E3E58">
        <w:rPr>
          <w:rFonts w:cstheme="minorHAnsi"/>
          <w:i/>
        </w:rPr>
        <w:t>”</w:t>
      </w:r>
      <w:r w:rsidR="009D45DB">
        <w:rPr>
          <w:rFonts w:cstheme="minorHAnsi"/>
          <w:i/>
        </w:rPr>
        <w:t>;</w:t>
      </w:r>
      <w:r w:rsidRPr="001E3E58">
        <w:rPr>
          <w:rFonts w:cstheme="minorHAnsi"/>
          <w:i/>
        </w:rPr>
        <w:t xml:space="preserve"> “</w:t>
      </w:r>
      <w:r w:rsidRPr="001E3E58">
        <w:rPr>
          <w:rFonts w:cstheme="minorHAnsi"/>
          <w:i/>
        </w:rPr>
        <w:t>The environmental impact of carrier bags is dominated by resource use and</w:t>
      </w:r>
      <w:r w:rsidRPr="001E3E58">
        <w:rPr>
          <w:rFonts w:cstheme="minorHAnsi"/>
          <w:i/>
        </w:rPr>
        <w:t xml:space="preserve"> </w:t>
      </w:r>
      <w:r w:rsidRPr="001E3E58">
        <w:rPr>
          <w:rFonts w:cstheme="minorHAnsi"/>
          <w:i/>
        </w:rPr>
        <w:t>production. Transport, secondary packaging and end-of-life processing generally</w:t>
      </w:r>
      <w:r w:rsidRPr="001E3E58">
        <w:rPr>
          <w:rFonts w:cstheme="minorHAnsi"/>
          <w:i/>
        </w:rPr>
        <w:t xml:space="preserve"> </w:t>
      </w:r>
      <w:r w:rsidRPr="001E3E58">
        <w:rPr>
          <w:rFonts w:cstheme="minorHAnsi"/>
          <w:i/>
        </w:rPr>
        <w:t>have a minimal influence on their environmental performance.</w:t>
      </w:r>
      <w:r w:rsidRPr="001E3E58">
        <w:rPr>
          <w:rFonts w:cstheme="minorHAnsi"/>
          <w:i/>
        </w:rPr>
        <w:t xml:space="preserve">” </w:t>
      </w:r>
      <w:r>
        <w:t xml:space="preserve">(Edwards, and Meyhoff Fry pages </w:t>
      </w:r>
      <w:r>
        <w:t>32-61</w:t>
      </w:r>
      <w:r>
        <w:t>)</w:t>
      </w:r>
    </w:p>
    <w:p w:rsidR="00373822" w:rsidRDefault="00373822" w:rsidP="009A2618">
      <w:pPr>
        <w:autoSpaceDE w:val="0"/>
        <w:autoSpaceDN w:val="0"/>
        <w:adjustRightInd w:val="0"/>
        <w:spacing w:after="0" w:line="360" w:lineRule="auto"/>
        <w:jc w:val="center"/>
      </w:pPr>
      <w:r>
        <w:rPr>
          <w:noProof/>
        </w:rPr>
        <w:lastRenderedPageBreak/>
        <w:drawing>
          <wp:inline distT="0" distB="0" distL="0" distR="0">
            <wp:extent cx="5295900" cy="3596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900" cy="3596640"/>
                    </a:xfrm>
                    <a:prstGeom prst="rect">
                      <a:avLst/>
                    </a:prstGeom>
                    <a:noFill/>
                    <a:ln>
                      <a:noFill/>
                    </a:ln>
                  </pic:spPr>
                </pic:pic>
              </a:graphicData>
            </a:graphic>
          </wp:inline>
        </w:drawing>
      </w:r>
    </w:p>
    <w:p w:rsidR="00373822" w:rsidRDefault="00373822" w:rsidP="009D45DB">
      <w:pPr>
        <w:autoSpaceDE w:val="0"/>
        <w:autoSpaceDN w:val="0"/>
        <w:adjustRightInd w:val="0"/>
        <w:spacing w:after="0" w:line="360" w:lineRule="auto"/>
        <w:jc w:val="both"/>
      </w:pPr>
      <w:r>
        <w:rPr>
          <w:b/>
          <w:i/>
        </w:rPr>
        <w:t xml:space="preserve">Figure: </w:t>
      </w:r>
      <w:r w:rsidRPr="00373822">
        <w:rPr>
          <w:b/>
          <w:i/>
        </w:rPr>
        <w:t>Energy consumption and waste generation for film and cotton bags (per 1000 bags)</w:t>
      </w:r>
      <w:r>
        <w:t xml:space="preserve"> (</w:t>
      </w:r>
      <w:r>
        <w:t xml:space="preserve">Edwards, and Meyhoff Fry page </w:t>
      </w:r>
      <w:r>
        <w:t>28</w:t>
      </w:r>
      <w:r>
        <w:t>)</w:t>
      </w:r>
    </w:p>
    <w:p w:rsidR="001E3E58" w:rsidRPr="009B61A4" w:rsidRDefault="001E3E58" w:rsidP="009B61A4">
      <w:pPr>
        <w:autoSpaceDE w:val="0"/>
        <w:autoSpaceDN w:val="0"/>
        <w:adjustRightInd w:val="0"/>
        <w:spacing w:after="0" w:line="360" w:lineRule="auto"/>
        <w:rPr>
          <w:rFonts w:cstheme="minorHAnsi"/>
        </w:rPr>
      </w:pPr>
      <w:r w:rsidRPr="009B61A4">
        <w:rPr>
          <w:rFonts w:cstheme="minorHAnsi"/>
          <w:vertAlign w:val="superscript"/>
        </w:rPr>
        <w:t>8</w:t>
      </w:r>
      <w:r w:rsidRPr="009B61A4">
        <w:rPr>
          <w:rFonts w:cstheme="minorHAnsi"/>
        </w:rPr>
        <w:t xml:space="preserve"> </w:t>
      </w:r>
      <w:r w:rsidR="00117340" w:rsidRPr="009B61A4">
        <w:rPr>
          <w:rFonts w:cstheme="minorHAnsi"/>
        </w:rPr>
        <w:t>“</w:t>
      </w:r>
      <w:r w:rsidR="00117340" w:rsidRPr="009B61A4">
        <w:rPr>
          <w:rFonts w:cstheme="minorHAnsi"/>
          <w:i/>
        </w:rPr>
        <w:t xml:space="preserve">The conventional HDPE bag had the lowest environmental impacts of the lightweight </w:t>
      </w:r>
      <w:r w:rsidR="00117340" w:rsidRPr="009B61A4">
        <w:rPr>
          <w:rFonts w:cstheme="minorHAnsi"/>
          <w:i/>
        </w:rPr>
        <w:t>bags in eight of the nine impact categories. The bag performed well because it was the</w:t>
      </w:r>
      <w:r w:rsidR="00117340" w:rsidRPr="009B61A4">
        <w:rPr>
          <w:rFonts w:cstheme="minorHAnsi"/>
          <w:i/>
        </w:rPr>
        <w:t xml:space="preserve"> </w:t>
      </w:r>
      <w:r w:rsidR="00117340" w:rsidRPr="009B61A4">
        <w:rPr>
          <w:rFonts w:cstheme="minorHAnsi"/>
          <w:i/>
        </w:rPr>
        <w:t>lightest bag considered. The lifecycle impact of the bag was dictated by raw material</w:t>
      </w:r>
      <w:r w:rsidR="00117340" w:rsidRPr="009B61A4">
        <w:rPr>
          <w:rFonts w:cstheme="minorHAnsi"/>
          <w:i/>
        </w:rPr>
        <w:t xml:space="preserve"> </w:t>
      </w:r>
      <w:r w:rsidR="00117340" w:rsidRPr="009B61A4">
        <w:rPr>
          <w:rFonts w:cstheme="minorHAnsi"/>
          <w:i/>
        </w:rPr>
        <w:t>extraction and bag production, with the use of Chinese grid electricity significantly</w:t>
      </w:r>
      <w:r w:rsidR="00117340" w:rsidRPr="009B61A4">
        <w:rPr>
          <w:rFonts w:cstheme="minorHAnsi"/>
          <w:i/>
        </w:rPr>
        <w:t xml:space="preserve"> </w:t>
      </w:r>
      <w:r w:rsidR="00117340" w:rsidRPr="009B61A4">
        <w:rPr>
          <w:rFonts w:cstheme="minorHAnsi"/>
          <w:i/>
        </w:rPr>
        <w:t>affecting the acidification and ecotoxicity of the bag.</w:t>
      </w:r>
      <w:r w:rsidR="00117340" w:rsidRPr="009B61A4">
        <w:rPr>
          <w:rFonts w:cstheme="minorHAnsi"/>
          <w:i/>
        </w:rPr>
        <w:t>” ; “The key to reducing the impact of all carrier bags is to reuse them as much as possible and wehre reuse for shopping is not practical, secondary reuse in application such as bin liners is beneficial.” ; “Reusing lightweight carrier bags as bin liners produces greater benefits than recycling bags due to the benefits of avoiding the production of the bin liners they replace</w:t>
      </w:r>
      <w:r w:rsidR="009B61A4" w:rsidRPr="009B61A4">
        <w:rPr>
          <w:rFonts w:cstheme="minorHAnsi"/>
          <w:i/>
          <w:vertAlign w:val="superscript"/>
        </w:rPr>
        <w:t>9</w:t>
      </w:r>
      <w:r w:rsidR="00117340" w:rsidRPr="009B61A4">
        <w:rPr>
          <w:rFonts w:cstheme="minorHAnsi"/>
          <w:i/>
        </w:rPr>
        <w:t>.”</w:t>
      </w:r>
      <w:r w:rsidR="009B61A4" w:rsidRPr="009B61A4">
        <w:t xml:space="preserve"> </w:t>
      </w:r>
      <w:r w:rsidR="009B61A4">
        <w:t xml:space="preserve">(Edwards, and Meyhoff Fry pages </w:t>
      </w:r>
      <w:r w:rsidR="009B61A4">
        <w:t>59</w:t>
      </w:r>
      <w:r w:rsidR="009B61A4">
        <w:t>-61)</w:t>
      </w:r>
    </w:p>
    <w:p w:rsidR="009B61A4" w:rsidRPr="009B61A4" w:rsidRDefault="009B61A4" w:rsidP="009B61A4">
      <w:pPr>
        <w:autoSpaceDE w:val="0"/>
        <w:autoSpaceDN w:val="0"/>
        <w:adjustRightInd w:val="0"/>
        <w:spacing w:after="0" w:line="360" w:lineRule="auto"/>
        <w:rPr>
          <w:rFonts w:cstheme="minorHAnsi"/>
        </w:rPr>
      </w:pPr>
      <w:r w:rsidRPr="009B61A4">
        <w:rPr>
          <w:rFonts w:cstheme="minorHAnsi"/>
          <w:vertAlign w:val="superscript"/>
        </w:rPr>
        <w:t>9</w:t>
      </w:r>
      <w:r w:rsidRPr="009B61A4">
        <w:rPr>
          <w:rFonts w:cstheme="minorHAnsi"/>
        </w:rPr>
        <w:t xml:space="preserve"> </w:t>
      </w:r>
      <w:r w:rsidRPr="009B61A4">
        <w:rPr>
          <w:rFonts w:cstheme="minorHAnsi"/>
          <w:i/>
        </w:rPr>
        <w:t>“</w:t>
      </w:r>
      <w:r w:rsidRPr="009B61A4">
        <w:rPr>
          <w:rFonts w:cstheme="minorHAnsi"/>
          <w:i/>
        </w:rPr>
        <w:t>40.3 per cent (53 per cent of 76 per cent) of all lightweight</w:t>
      </w:r>
      <w:r w:rsidRPr="009B61A4">
        <w:rPr>
          <w:rFonts w:cstheme="minorHAnsi"/>
          <w:i/>
        </w:rPr>
        <w:t xml:space="preserve"> </w:t>
      </w:r>
      <w:r w:rsidRPr="009B61A4">
        <w:rPr>
          <w:rFonts w:cstheme="minorHAnsi"/>
          <w:i/>
        </w:rPr>
        <w:t>carrier bags avoided the use of bin liners. The volume and weight of an average HDPE</w:t>
      </w:r>
      <w:r w:rsidRPr="009B61A4">
        <w:rPr>
          <w:rFonts w:cstheme="minorHAnsi"/>
          <w:i/>
        </w:rPr>
        <w:t xml:space="preserve"> </w:t>
      </w:r>
      <w:r w:rsidRPr="009B61A4">
        <w:rPr>
          <w:rFonts w:cstheme="minorHAnsi"/>
          <w:i/>
        </w:rPr>
        <w:t>bin liner was calculated to be 29.3 litres and 9.3 grams, using the same measurement</w:t>
      </w:r>
      <w:r w:rsidRPr="009B61A4">
        <w:rPr>
          <w:rFonts w:cstheme="minorHAnsi"/>
          <w:i/>
        </w:rPr>
        <w:t xml:space="preserve"> </w:t>
      </w:r>
      <w:r w:rsidRPr="009B61A4">
        <w:rPr>
          <w:rFonts w:cstheme="minorHAnsi"/>
          <w:i/>
        </w:rPr>
        <w:t>methods applied to the carrier bags in this study. Therefore, for every 19.1</w:t>
      </w:r>
      <w:r w:rsidRPr="009B61A4">
        <w:rPr>
          <w:rFonts w:cstheme="minorHAnsi"/>
          <w:i/>
        </w:rPr>
        <w:t xml:space="preserve"> </w:t>
      </w:r>
      <w:r w:rsidRPr="009B61A4">
        <w:rPr>
          <w:rFonts w:cstheme="minorHAnsi"/>
          <w:i/>
        </w:rPr>
        <w:t>litre lightweight plastic carrier bag that was reused, an avoided burden of 6.1grams of</w:t>
      </w:r>
      <w:r w:rsidRPr="009B61A4">
        <w:rPr>
          <w:rFonts w:cstheme="minorHAnsi"/>
          <w:i/>
        </w:rPr>
        <w:t xml:space="preserve"> </w:t>
      </w:r>
      <w:r w:rsidRPr="009B61A4">
        <w:rPr>
          <w:rFonts w:cstheme="minorHAnsi"/>
          <w:i/>
        </w:rPr>
        <w:t>HDPE bin liner was subtracted from the system.</w:t>
      </w:r>
      <w:r w:rsidRPr="009B61A4">
        <w:rPr>
          <w:rFonts w:cstheme="minorHAnsi"/>
          <w:i/>
        </w:rPr>
        <w:t>”</w:t>
      </w:r>
      <w:r>
        <w:rPr>
          <w:rFonts w:cstheme="minorHAnsi"/>
          <w:i/>
        </w:rPr>
        <w:t xml:space="preserve"> </w:t>
      </w:r>
      <w:r w:rsidRPr="009B61A4">
        <w:rPr>
          <w:rFonts w:cstheme="minorHAnsi"/>
        </w:rPr>
        <w:t>(WRAP, 2005)</w:t>
      </w:r>
    </w:p>
    <w:p w:rsidR="009813E7" w:rsidRDefault="009813E7" w:rsidP="00F57A34">
      <w:pPr>
        <w:autoSpaceDE w:val="0"/>
        <w:autoSpaceDN w:val="0"/>
        <w:adjustRightInd w:val="0"/>
        <w:spacing w:after="0" w:line="360" w:lineRule="auto"/>
        <w:jc w:val="both"/>
        <w:rPr>
          <w:b/>
          <w:i/>
        </w:rPr>
      </w:pPr>
    </w:p>
    <w:p w:rsidR="009D45DB" w:rsidRDefault="009D45DB" w:rsidP="00F57A34">
      <w:pPr>
        <w:autoSpaceDE w:val="0"/>
        <w:autoSpaceDN w:val="0"/>
        <w:adjustRightInd w:val="0"/>
        <w:spacing w:after="0" w:line="360" w:lineRule="auto"/>
        <w:jc w:val="both"/>
        <w:rPr>
          <w:b/>
          <w:i/>
        </w:rPr>
      </w:pPr>
      <w:r>
        <w:rPr>
          <w:b/>
          <w:i/>
        </w:rPr>
        <w:t>Additional Notes</w:t>
      </w:r>
    </w:p>
    <w:p w:rsidR="009D45DB" w:rsidRDefault="009D45DB" w:rsidP="00F57A34">
      <w:pPr>
        <w:autoSpaceDE w:val="0"/>
        <w:autoSpaceDN w:val="0"/>
        <w:adjustRightInd w:val="0"/>
        <w:spacing w:after="0" w:line="360" w:lineRule="auto"/>
        <w:jc w:val="both"/>
      </w:pPr>
      <w:r>
        <w:lastRenderedPageBreak/>
        <w:t>The Environment Agency study also did not include the energy requirements of washing cloth bags in hot soapy water or bleach to sanitize them.</w:t>
      </w:r>
      <w:r w:rsidRPr="009D45DB">
        <w:t xml:space="preserve"> </w:t>
      </w:r>
      <w:r>
        <w:t>(Edwards, and Meyhoff Fry</w:t>
      </w:r>
      <w:r>
        <w:t>)</w:t>
      </w:r>
    </w:p>
    <w:p w:rsidR="003462B6" w:rsidRDefault="003462B6" w:rsidP="00F57A34">
      <w:pPr>
        <w:autoSpaceDE w:val="0"/>
        <w:autoSpaceDN w:val="0"/>
        <w:adjustRightInd w:val="0"/>
        <w:spacing w:after="0" w:line="360" w:lineRule="auto"/>
        <w:jc w:val="both"/>
        <w:rPr>
          <w:i/>
        </w:rPr>
      </w:pPr>
    </w:p>
    <w:p w:rsidR="009D45DB" w:rsidRDefault="009D45DB" w:rsidP="00F57A34">
      <w:pPr>
        <w:autoSpaceDE w:val="0"/>
        <w:autoSpaceDN w:val="0"/>
        <w:adjustRightInd w:val="0"/>
        <w:spacing w:after="0" w:line="360" w:lineRule="auto"/>
        <w:jc w:val="both"/>
        <w:rPr>
          <w:i/>
        </w:rPr>
      </w:pPr>
      <w:r w:rsidRPr="009D45DB">
        <w:rPr>
          <w:i/>
        </w:rPr>
        <w:t>“</w:t>
      </w:r>
      <w:r w:rsidRPr="009D45DB">
        <w:rPr>
          <w:i/>
        </w:rPr>
        <w:t>Because the norovirus has been reported to survive on surfaces up to four weeks at room temperature, disinfection is recommended with commercial products or a solution of ½ cup of bleach to 1 gallon of water. Norovirus is killed at temperatures above 140 F</w:t>
      </w:r>
      <w:r w:rsidRPr="009D45DB">
        <w:rPr>
          <w:i/>
        </w:rPr>
        <w:t>…”</w:t>
      </w:r>
      <w:r>
        <w:rPr>
          <w:i/>
        </w:rPr>
        <w:t xml:space="preserve"> </w:t>
      </w:r>
      <w:r w:rsidRPr="009B61A4">
        <w:t>(</w:t>
      </w:r>
      <w:hyperlink r:id="rId9" w:history="1">
        <w:r w:rsidRPr="009B61A4">
          <w:rPr>
            <w:rStyle w:val="Hyperlink"/>
          </w:rPr>
          <w:t>www.emedicinehealth.com</w:t>
        </w:r>
      </w:hyperlink>
      <w:r w:rsidR="009B61A4">
        <w:t>, 2012</w:t>
      </w:r>
      <w:r w:rsidRPr="009B61A4">
        <w:t>)</w:t>
      </w:r>
    </w:p>
    <w:p w:rsidR="003462B6" w:rsidRDefault="003462B6" w:rsidP="00F57A34">
      <w:pPr>
        <w:autoSpaceDE w:val="0"/>
        <w:autoSpaceDN w:val="0"/>
        <w:adjustRightInd w:val="0"/>
        <w:spacing w:after="0" w:line="360" w:lineRule="auto"/>
        <w:jc w:val="both"/>
        <w:rPr>
          <w:i/>
        </w:rPr>
      </w:pPr>
    </w:p>
    <w:p w:rsidR="009D45DB" w:rsidRDefault="009D45DB" w:rsidP="00F57A34">
      <w:pPr>
        <w:autoSpaceDE w:val="0"/>
        <w:autoSpaceDN w:val="0"/>
        <w:adjustRightInd w:val="0"/>
        <w:spacing w:after="0" w:line="360" w:lineRule="auto"/>
        <w:jc w:val="both"/>
        <w:rPr>
          <w:i/>
        </w:rPr>
      </w:pPr>
      <w:r w:rsidRPr="009D45DB">
        <w:rPr>
          <w:i/>
        </w:rPr>
        <w:t>“</w:t>
      </w:r>
      <w:r w:rsidRPr="009D45DB">
        <w:rPr>
          <w:i/>
        </w:rPr>
        <w:t xml:space="preserve">A full </w:t>
      </w:r>
      <w:r w:rsidRPr="009D45DB">
        <w:rPr>
          <w:i/>
        </w:rPr>
        <w:t>90 percent of the energy used</w:t>
      </w:r>
      <w:r w:rsidRPr="009D45DB">
        <w:rPr>
          <w:i/>
        </w:rPr>
        <w:t xml:space="preserve"> in washing clothes goes toward heating the water</w:t>
      </w:r>
      <w:r>
        <w:rPr>
          <w:i/>
        </w:rPr>
        <w:t>…”; “</w:t>
      </w:r>
      <w:r w:rsidRPr="009D45DB">
        <w:rPr>
          <w:i/>
        </w:rPr>
        <w:t>It turns out that pressing the cold/cold button (instead of the hot/warm button) on your washing machine has the same impact as</w:t>
      </w:r>
      <w:r w:rsidRPr="009D45DB">
        <w:rPr>
          <w:i/>
        </w:rPr>
        <w:t xml:space="preserve"> </w:t>
      </w:r>
      <w:r w:rsidRPr="009D45DB">
        <w:rPr>
          <w:rStyle w:val="Strong"/>
          <w:b w:val="0"/>
          <w:i/>
          <w:iCs/>
        </w:rPr>
        <w:t>driving about 9 miles in a car</w:t>
      </w:r>
      <w:r w:rsidRPr="009D45DB">
        <w:rPr>
          <w:rStyle w:val="Emphasis"/>
          <w:b/>
        </w:rPr>
        <w:t xml:space="preserve"> </w:t>
      </w:r>
      <w:r w:rsidRPr="009D45DB">
        <w:rPr>
          <w:rStyle w:val="Emphasis"/>
        </w:rPr>
        <w:t xml:space="preserve">or the production, transportation and storage of </w:t>
      </w:r>
      <w:r w:rsidRPr="009D45DB">
        <w:rPr>
          <w:rStyle w:val="Strong"/>
          <w:b w:val="0"/>
          <w:i/>
          <w:iCs/>
        </w:rPr>
        <w:t>a six pack of beer</w:t>
      </w:r>
      <w:r w:rsidRPr="009D45DB">
        <w:rPr>
          <w:rStyle w:val="Emphasis"/>
          <w:b/>
        </w:rPr>
        <w:t>.</w:t>
      </w:r>
      <w:r>
        <w:rPr>
          <w:rStyle w:val="Emphasis"/>
        </w:rPr>
        <w:t xml:space="preserve"> It may not be too surprising that one load of laundry doesn't make a huge amount of difference </w:t>
      </w:r>
      <w:r>
        <w:rPr>
          <w:rStyle w:val="Emphasis"/>
        </w:rPr>
        <w:t>…</w:t>
      </w:r>
      <w:r>
        <w:rPr>
          <w:rStyle w:val="Emphasis"/>
        </w:rPr>
        <w:t xml:space="preserve">But, multiply those impacts by 392 -- the number of laundry loads an </w:t>
      </w:r>
      <w:r w:rsidRPr="009D45DB">
        <w:rPr>
          <w:rStyle w:val="Emphasis"/>
        </w:rPr>
        <w:t>average U.S. home washes in a year</w:t>
      </w:r>
      <w:r>
        <w:rPr>
          <w:rStyle w:val="Emphasis"/>
        </w:rPr>
        <w:t xml:space="preserve"> -- and, all of the sudden, there are some real impacts.</w:t>
      </w:r>
      <w:r>
        <w:rPr>
          <w:i/>
        </w:rPr>
        <w:t xml:space="preserve">” </w:t>
      </w:r>
      <w:r w:rsidRPr="009B61A4">
        <w:t>(</w:t>
      </w:r>
      <w:hyperlink r:id="rId10" w:history="1">
        <w:r w:rsidRPr="009B61A4">
          <w:rPr>
            <w:rStyle w:val="Hyperlink"/>
          </w:rPr>
          <w:t>www.treehugger.com</w:t>
        </w:r>
      </w:hyperlink>
      <w:r w:rsidR="009B61A4">
        <w:t>, 2008</w:t>
      </w:r>
      <w:r w:rsidRPr="009B61A4">
        <w:t>)</w:t>
      </w:r>
      <w:r>
        <w:rPr>
          <w:i/>
        </w:rPr>
        <w:t xml:space="preserve"> </w:t>
      </w:r>
    </w:p>
    <w:p w:rsidR="009813E7" w:rsidRDefault="009813E7" w:rsidP="00F57A34">
      <w:pPr>
        <w:autoSpaceDE w:val="0"/>
        <w:autoSpaceDN w:val="0"/>
        <w:adjustRightInd w:val="0"/>
        <w:spacing w:after="0" w:line="360" w:lineRule="auto"/>
        <w:jc w:val="both"/>
        <w:rPr>
          <w:b/>
          <w:i/>
        </w:rPr>
      </w:pPr>
    </w:p>
    <w:p w:rsidR="00AA3F36" w:rsidRDefault="00AA3F36" w:rsidP="00F57A34">
      <w:pPr>
        <w:autoSpaceDE w:val="0"/>
        <w:autoSpaceDN w:val="0"/>
        <w:adjustRightInd w:val="0"/>
        <w:spacing w:after="0" w:line="360" w:lineRule="auto"/>
        <w:jc w:val="both"/>
      </w:pPr>
      <w:r>
        <w:rPr>
          <w:b/>
          <w:i/>
        </w:rPr>
        <w:t>References</w:t>
      </w:r>
    </w:p>
    <w:p w:rsidR="00AA3F36" w:rsidRDefault="00AA3F36" w:rsidP="00F57A34">
      <w:pPr>
        <w:autoSpaceDE w:val="0"/>
        <w:autoSpaceDN w:val="0"/>
        <w:adjustRightInd w:val="0"/>
        <w:spacing w:after="0" w:line="360" w:lineRule="auto"/>
        <w:jc w:val="both"/>
      </w:pPr>
      <w:r>
        <w:t xml:space="preserve">Repp, Kimberly, and William Keene. "A Point-Source Norovirus Outbreak Caused by Exposure to Fomite." </w:t>
      </w:r>
      <w:r>
        <w:rPr>
          <w:i/>
          <w:iCs/>
        </w:rPr>
        <w:t>Journal of Infectious Diseases Advance Access</w:t>
      </w:r>
      <w:r w:rsidR="00EF74D3">
        <w:t>. (2012)</w:t>
      </w:r>
      <w:r>
        <w:t xml:space="preserve"> Print.</w:t>
      </w:r>
    </w:p>
    <w:p w:rsidR="00EF74D3" w:rsidRDefault="00EF74D3" w:rsidP="00F57A34">
      <w:pPr>
        <w:autoSpaceDE w:val="0"/>
        <w:autoSpaceDN w:val="0"/>
        <w:adjustRightInd w:val="0"/>
        <w:spacing w:after="0" w:line="360" w:lineRule="auto"/>
        <w:jc w:val="both"/>
      </w:pPr>
    </w:p>
    <w:p w:rsidR="00AA3F36" w:rsidRDefault="00AA3F36" w:rsidP="00F57A34">
      <w:pPr>
        <w:autoSpaceDE w:val="0"/>
        <w:autoSpaceDN w:val="0"/>
        <w:adjustRightInd w:val="0"/>
        <w:spacing w:after="0" w:line="360" w:lineRule="auto"/>
        <w:jc w:val="both"/>
      </w:pPr>
      <w:r>
        <w:t xml:space="preserve">Gerba, Charles, David Williams, and Ryan Sinclair. "Assessment of the Potential for Cross Contamination of Food Products by Reusable Shopping Bags." </w:t>
      </w:r>
      <w:r>
        <w:rPr>
          <w:i/>
          <w:iCs/>
        </w:rPr>
        <w:t>Department of Soil, Water and Environmental Science, Univeristy of Arizona; School of Public Health, Loma Linda University</w:t>
      </w:r>
      <w:r w:rsidR="00EF74D3">
        <w:t xml:space="preserve">. (2010) </w:t>
      </w:r>
      <w:r>
        <w:t>Print.</w:t>
      </w:r>
    </w:p>
    <w:p w:rsidR="00AA3F36" w:rsidRDefault="00AA3F36" w:rsidP="00F57A34">
      <w:pPr>
        <w:autoSpaceDE w:val="0"/>
        <w:autoSpaceDN w:val="0"/>
        <w:adjustRightInd w:val="0"/>
        <w:spacing w:after="0" w:line="360" w:lineRule="auto"/>
        <w:jc w:val="both"/>
        <w:rPr>
          <w:rFonts w:cstheme="minorHAnsi"/>
        </w:rPr>
      </w:pPr>
    </w:p>
    <w:p w:rsidR="004D3286" w:rsidRDefault="001E3E58" w:rsidP="004D3286">
      <w:pPr>
        <w:autoSpaceDE w:val="0"/>
        <w:autoSpaceDN w:val="0"/>
        <w:adjustRightInd w:val="0"/>
        <w:spacing w:after="0" w:line="360" w:lineRule="auto"/>
        <w:jc w:val="both"/>
      </w:pPr>
      <w:r>
        <w:t xml:space="preserve">Edwards, Chris, and Jonna Meyhoff Fry. United Kingdom. Environment Agency. </w:t>
      </w:r>
      <w:r>
        <w:rPr>
          <w:i/>
          <w:iCs/>
        </w:rPr>
        <w:t>Life Cycle Assessment of Supermarket Carrier Bags</w:t>
      </w:r>
      <w:r>
        <w:t xml:space="preserve">. Horizon House, Deanery Road, Bristol BS1 5AH: </w:t>
      </w:r>
      <w:r w:rsidR="004D3286">
        <w:t>Environment Agency, 2011. Print.</w:t>
      </w:r>
    </w:p>
    <w:p w:rsidR="004D3286" w:rsidRDefault="004D3286" w:rsidP="004D3286">
      <w:pPr>
        <w:autoSpaceDE w:val="0"/>
        <w:autoSpaceDN w:val="0"/>
        <w:adjustRightInd w:val="0"/>
        <w:spacing w:after="0" w:line="360" w:lineRule="auto"/>
        <w:jc w:val="both"/>
      </w:pPr>
    </w:p>
    <w:p w:rsidR="004D3286" w:rsidRPr="004D3286" w:rsidRDefault="004D3286" w:rsidP="004D3286">
      <w:pPr>
        <w:autoSpaceDE w:val="0"/>
        <w:autoSpaceDN w:val="0"/>
        <w:adjustRightInd w:val="0"/>
        <w:spacing w:after="0" w:line="360" w:lineRule="auto"/>
        <w:jc w:val="both"/>
        <w:rPr>
          <w:rFonts w:cstheme="minorHAnsi"/>
          <w:i/>
          <w:iCs/>
        </w:rPr>
      </w:pPr>
      <w:r w:rsidRPr="004D3286">
        <w:rPr>
          <w:rFonts w:cstheme="minorHAnsi"/>
        </w:rPr>
        <w:t xml:space="preserve">Waste and Resources Action Programme (WRAP), 2005. </w:t>
      </w:r>
      <w:r w:rsidRPr="004D3286">
        <w:rPr>
          <w:rFonts w:cstheme="minorHAnsi"/>
          <w:i/>
          <w:iCs/>
        </w:rPr>
        <w:t>Carrier Bag Usage and</w:t>
      </w:r>
    </w:p>
    <w:p w:rsidR="004D3286" w:rsidRDefault="004D3286" w:rsidP="004D3286">
      <w:pPr>
        <w:autoSpaceDE w:val="0"/>
        <w:autoSpaceDN w:val="0"/>
        <w:adjustRightInd w:val="0"/>
        <w:spacing w:after="0" w:line="360" w:lineRule="auto"/>
        <w:jc w:val="both"/>
        <w:rPr>
          <w:rFonts w:cstheme="minorHAnsi"/>
        </w:rPr>
      </w:pPr>
      <w:r w:rsidRPr="004D3286">
        <w:rPr>
          <w:rFonts w:cstheme="minorHAnsi"/>
          <w:i/>
          <w:iCs/>
        </w:rPr>
        <w:t>Attitudes. Benchmark and Target Market Study</w:t>
      </w:r>
      <w:r w:rsidRPr="004D3286">
        <w:rPr>
          <w:rFonts w:cstheme="minorHAnsi"/>
        </w:rPr>
        <w:t>.</w:t>
      </w:r>
    </w:p>
    <w:p w:rsidR="003462B6" w:rsidRDefault="003462B6" w:rsidP="004D3286">
      <w:pPr>
        <w:autoSpaceDE w:val="0"/>
        <w:autoSpaceDN w:val="0"/>
        <w:adjustRightInd w:val="0"/>
        <w:spacing w:after="0" w:line="360" w:lineRule="auto"/>
        <w:jc w:val="both"/>
        <w:rPr>
          <w:rFonts w:cstheme="minorHAnsi"/>
        </w:rPr>
      </w:pPr>
    </w:p>
    <w:p w:rsidR="003462B6" w:rsidRDefault="003462B6" w:rsidP="003462B6">
      <w:pPr>
        <w:autoSpaceDE w:val="0"/>
        <w:autoSpaceDN w:val="0"/>
        <w:adjustRightInd w:val="0"/>
        <w:spacing w:after="0" w:line="360" w:lineRule="auto"/>
      </w:pPr>
      <w:r>
        <w:t xml:space="preserve">Green, Kenneth. "A Punching Bag No More." </w:t>
      </w:r>
      <w:r>
        <w:rPr>
          <w:i/>
          <w:iCs/>
        </w:rPr>
        <w:t>American: The Online Magazine of the American Enterprise Institute</w:t>
      </w:r>
      <w:r>
        <w:t>. 26 March 2011: n. page. Web. 9 Sep. 2012. &lt;http://www.american.com/archive/2011/march/a-punching-bag-no-more&gt;.</w:t>
      </w:r>
    </w:p>
    <w:p w:rsidR="003462B6" w:rsidRDefault="003462B6" w:rsidP="003462B6">
      <w:pPr>
        <w:autoSpaceDE w:val="0"/>
        <w:autoSpaceDN w:val="0"/>
        <w:adjustRightInd w:val="0"/>
        <w:spacing w:after="0" w:line="360" w:lineRule="auto"/>
      </w:pPr>
    </w:p>
    <w:p w:rsidR="003462B6" w:rsidRDefault="003462B6" w:rsidP="003462B6">
      <w:pPr>
        <w:autoSpaceDE w:val="0"/>
        <w:autoSpaceDN w:val="0"/>
        <w:adjustRightInd w:val="0"/>
        <w:spacing w:after="0" w:line="360" w:lineRule="auto"/>
      </w:pPr>
      <w:r>
        <w:t xml:space="preserve">Dunn, Collin. "Washing Laundry in Cold Water is the Same As...." </w:t>
      </w:r>
      <w:r>
        <w:rPr>
          <w:i/>
          <w:iCs/>
        </w:rPr>
        <w:t xml:space="preserve">TreeHugger.com - Discovery Communications, LLC </w:t>
      </w:r>
      <w:r>
        <w:t>. 15 December 2008: n. page. Web. 9 Sep. 2012. &lt;http://www.treehugger.com/culture/washing-laundry-in-cold-water-is-the-same-as.html&gt;.</w:t>
      </w:r>
    </w:p>
    <w:p w:rsidR="003462B6" w:rsidRDefault="003462B6" w:rsidP="003462B6">
      <w:pPr>
        <w:autoSpaceDE w:val="0"/>
        <w:autoSpaceDN w:val="0"/>
        <w:adjustRightInd w:val="0"/>
        <w:spacing w:after="0" w:line="360" w:lineRule="auto"/>
      </w:pPr>
    </w:p>
    <w:p w:rsidR="003462B6" w:rsidRDefault="003462B6" w:rsidP="003462B6">
      <w:pPr>
        <w:autoSpaceDE w:val="0"/>
        <w:autoSpaceDN w:val="0"/>
        <w:adjustRightInd w:val="0"/>
        <w:spacing w:after="0" w:line="360" w:lineRule="auto"/>
      </w:pPr>
      <w:r>
        <w:t xml:space="preserve">Davis, MD, PhD, Charles. "Norovirus." </w:t>
      </w:r>
      <w:r>
        <w:rPr>
          <w:i/>
          <w:iCs/>
        </w:rPr>
        <w:t>emedicinehealth - WebMD</w:t>
      </w:r>
      <w:r>
        <w:t>. 02 February 2012: 11. Print. &lt;http://www.emedicinehealth.com/norovirus/page11_em.htm&gt;.</w:t>
      </w:r>
    </w:p>
    <w:p w:rsidR="003462B6" w:rsidRPr="004D3286" w:rsidRDefault="003462B6" w:rsidP="004D3286">
      <w:pPr>
        <w:autoSpaceDE w:val="0"/>
        <w:autoSpaceDN w:val="0"/>
        <w:adjustRightInd w:val="0"/>
        <w:spacing w:after="0" w:line="360" w:lineRule="auto"/>
        <w:jc w:val="both"/>
        <w:rPr>
          <w:rFonts w:cstheme="minorHAnsi"/>
        </w:rPr>
      </w:pPr>
    </w:p>
    <w:sectPr w:rsidR="003462B6" w:rsidRPr="004D3286">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813" w:rsidRDefault="00B65813" w:rsidP="000F3AA9">
      <w:pPr>
        <w:spacing w:after="0" w:line="240" w:lineRule="auto"/>
      </w:pPr>
      <w:r>
        <w:separator/>
      </w:r>
    </w:p>
  </w:endnote>
  <w:endnote w:type="continuationSeparator" w:id="0">
    <w:p w:rsidR="00B65813" w:rsidRDefault="00B65813" w:rsidP="000F3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244019"/>
      <w:docPartObj>
        <w:docPartGallery w:val="Page Numbers (Bottom of Page)"/>
        <w:docPartUnique/>
      </w:docPartObj>
    </w:sdtPr>
    <w:sdtEndPr>
      <w:rPr>
        <w:color w:val="808080" w:themeColor="background1" w:themeShade="80"/>
        <w:spacing w:val="60"/>
      </w:rPr>
    </w:sdtEndPr>
    <w:sdtContent>
      <w:p w:rsidR="00AA3F36" w:rsidRDefault="00AA3F36">
        <w:pPr>
          <w:pStyle w:val="Footer"/>
          <w:pBdr>
            <w:top w:val="single" w:sz="4" w:space="1" w:color="D9D9D9" w:themeColor="background1" w:themeShade="D9"/>
          </w:pBdr>
          <w:jc w:val="right"/>
        </w:pPr>
        <w:r>
          <w:fldChar w:fldCharType="begin"/>
        </w:r>
        <w:r>
          <w:instrText xml:space="preserve"> PAGE   \* MERGEFORMAT </w:instrText>
        </w:r>
        <w:r>
          <w:fldChar w:fldCharType="separate"/>
        </w:r>
        <w:r w:rsidR="000C05DF">
          <w:rPr>
            <w:noProof/>
          </w:rPr>
          <w:t>2</w:t>
        </w:r>
        <w:r>
          <w:rPr>
            <w:noProof/>
          </w:rPr>
          <w:fldChar w:fldCharType="end"/>
        </w:r>
        <w:r>
          <w:t xml:space="preserve"> | </w:t>
        </w:r>
        <w:r>
          <w:rPr>
            <w:color w:val="808080" w:themeColor="background1" w:themeShade="80"/>
            <w:spacing w:val="60"/>
          </w:rPr>
          <w:t>Mileti</w:t>
        </w:r>
      </w:p>
    </w:sdtContent>
  </w:sdt>
  <w:p w:rsidR="00AA3F36" w:rsidRDefault="00AA3F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813" w:rsidRDefault="00B65813" w:rsidP="000F3AA9">
      <w:pPr>
        <w:spacing w:after="0" w:line="240" w:lineRule="auto"/>
      </w:pPr>
      <w:r>
        <w:separator/>
      </w:r>
    </w:p>
  </w:footnote>
  <w:footnote w:type="continuationSeparator" w:id="0">
    <w:p w:rsidR="00B65813" w:rsidRDefault="00B65813" w:rsidP="000F3A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heme="minorHAnsi"/>
        <w:sz w:val="32"/>
        <w:szCs w:val="32"/>
      </w:rPr>
      <w:alias w:val="Title"/>
      <w:id w:val="77738743"/>
      <w:placeholder>
        <w:docPart w:val="C637D8D1E54B41F5A1D59B02DC09DB21"/>
      </w:placeholder>
      <w:dataBinding w:prefixMappings="xmlns:ns0='http://schemas.openxmlformats.org/package/2006/metadata/core-properties' xmlns:ns1='http://purl.org/dc/elements/1.1/'" w:xpath="/ns0:coreProperties[1]/ns1:title[1]" w:storeItemID="{6C3C8BC8-F283-45AE-878A-BAB7291924A1}"/>
      <w:text/>
    </w:sdtPr>
    <w:sdtContent>
      <w:p w:rsidR="000F3AA9" w:rsidRPr="000F3AA9" w:rsidRDefault="000F3AA9">
        <w:pPr>
          <w:pStyle w:val="Header"/>
          <w:pBdr>
            <w:bottom w:val="thickThinSmallGap" w:sz="24" w:space="1" w:color="622423" w:themeColor="accent2" w:themeShade="7F"/>
          </w:pBdr>
          <w:jc w:val="center"/>
          <w:rPr>
            <w:rFonts w:eastAsiaTheme="majorEastAsia" w:cstheme="minorHAnsi"/>
            <w:sz w:val="32"/>
            <w:szCs w:val="32"/>
          </w:rPr>
        </w:pPr>
        <w:r>
          <w:rPr>
            <w:rFonts w:eastAsiaTheme="majorEastAsia" w:cstheme="minorHAnsi"/>
            <w:sz w:val="32"/>
            <w:szCs w:val="32"/>
          </w:rPr>
          <w:t>Why Worry – Reusable Carrier Bags</w:t>
        </w:r>
      </w:p>
    </w:sdtContent>
  </w:sdt>
  <w:p w:rsidR="000F3AA9" w:rsidRDefault="000F3A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A9"/>
    <w:rsid w:val="000555A0"/>
    <w:rsid w:val="000C05DF"/>
    <w:rsid w:val="000F3AA9"/>
    <w:rsid w:val="00117340"/>
    <w:rsid w:val="001E3E58"/>
    <w:rsid w:val="002508E3"/>
    <w:rsid w:val="00312B48"/>
    <w:rsid w:val="00317274"/>
    <w:rsid w:val="003462B6"/>
    <w:rsid w:val="00366035"/>
    <w:rsid w:val="00373822"/>
    <w:rsid w:val="00431FBA"/>
    <w:rsid w:val="00463939"/>
    <w:rsid w:val="004D3286"/>
    <w:rsid w:val="004E3EC6"/>
    <w:rsid w:val="00514CBC"/>
    <w:rsid w:val="00635E17"/>
    <w:rsid w:val="007532A6"/>
    <w:rsid w:val="00790583"/>
    <w:rsid w:val="008044A3"/>
    <w:rsid w:val="008A51BF"/>
    <w:rsid w:val="009813E7"/>
    <w:rsid w:val="009A2618"/>
    <w:rsid w:val="009B61A4"/>
    <w:rsid w:val="009D45DB"/>
    <w:rsid w:val="00AA3F36"/>
    <w:rsid w:val="00B65813"/>
    <w:rsid w:val="00BE2420"/>
    <w:rsid w:val="00C07753"/>
    <w:rsid w:val="00D102C8"/>
    <w:rsid w:val="00DD2D71"/>
    <w:rsid w:val="00EC12D2"/>
    <w:rsid w:val="00EF74D3"/>
    <w:rsid w:val="00F275D7"/>
    <w:rsid w:val="00F57A34"/>
    <w:rsid w:val="00F82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3A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AA9"/>
  </w:style>
  <w:style w:type="paragraph" w:styleId="Footer">
    <w:name w:val="footer"/>
    <w:basedOn w:val="Normal"/>
    <w:link w:val="FooterChar"/>
    <w:uiPriority w:val="99"/>
    <w:unhideWhenUsed/>
    <w:rsid w:val="000F3A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AA9"/>
  </w:style>
  <w:style w:type="paragraph" w:styleId="BalloonText">
    <w:name w:val="Balloon Text"/>
    <w:basedOn w:val="Normal"/>
    <w:link w:val="BalloonTextChar"/>
    <w:uiPriority w:val="99"/>
    <w:semiHidden/>
    <w:unhideWhenUsed/>
    <w:rsid w:val="000F3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AA9"/>
    <w:rPr>
      <w:rFonts w:ascii="Tahoma" w:hAnsi="Tahoma" w:cs="Tahoma"/>
      <w:sz w:val="16"/>
      <w:szCs w:val="16"/>
    </w:rPr>
  </w:style>
  <w:style w:type="character" w:styleId="Hyperlink">
    <w:name w:val="Hyperlink"/>
    <w:basedOn w:val="DefaultParagraphFont"/>
    <w:uiPriority w:val="99"/>
    <w:unhideWhenUsed/>
    <w:rsid w:val="009D45DB"/>
    <w:rPr>
      <w:color w:val="0000FF" w:themeColor="hyperlink"/>
      <w:u w:val="single"/>
    </w:rPr>
  </w:style>
  <w:style w:type="character" w:styleId="Emphasis">
    <w:name w:val="Emphasis"/>
    <w:basedOn w:val="DefaultParagraphFont"/>
    <w:uiPriority w:val="20"/>
    <w:qFormat/>
    <w:rsid w:val="009D45DB"/>
    <w:rPr>
      <w:i/>
      <w:iCs/>
    </w:rPr>
  </w:style>
  <w:style w:type="character" w:styleId="Strong">
    <w:name w:val="Strong"/>
    <w:basedOn w:val="DefaultParagraphFont"/>
    <w:uiPriority w:val="22"/>
    <w:qFormat/>
    <w:rsid w:val="009D45D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3A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3AA9"/>
  </w:style>
  <w:style w:type="paragraph" w:styleId="Footer">
    <w:name w:val="footer"/>
    <w:basedOn w:val="Normal"/>
    <w:link w:val="FooterChar"/>
    <w:uiPriority w:val="99"/>
    <w:unhideWhenUsed/>
    <w:rsid w:val="000F3A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AA9"/>
  </w:style>
  <w:style w:type="paragraph" w:styleId="BalloonText">
    <w:name w:val="Balloon Text"/>
    <w:basedOn w:val="Normal"/>
    <w:link w:val="BalloonTextChar"/>
    <w:uiPriority w:val="99"/>
    <w:semiHidden/>
    <w:unhideWhenUsed/>
    <w:rsid w:val="000F3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AA9"/>
    <w:rPr>
      <w:rFonts w:ascii="Tahoma" w:hAnsi="Tahoma" w:cs="Tahoma"/>
      <w:sz w:val="16"/>
      <w:szCs w:val="16"/>
    </w:rPr>
  </w:style>
  <w:style w:type="character" w:styleId="Hyperlink">
    <w:name w:val="Hyperlink"/>
    <w:basedOn w:val="DefaultParagraphFont"/>
    <w:uiPriority w:val="99"/>
    <w:unhideWhenUsed/>
    <w:rsid w:val="009D45DB"/>
    <w:rPr>
      <w:color w:val="0000FF" w:themeColor="hyperlink"/>
      <w:u w:val="single"/>
    </w:rPr>
  </w:style>
  <w:style w:type="character" w:styleId="Emphasis">
    <w:name w:val="Emphasis"/>
    <w:basedOn w:val="DefaultParagraphFont"/>
    <w:uiPriority w:val="20"/>
    <w:qFormat/>
    <w:rsid w:val="009D45DB"/>
    <w:rPr>
      <w:i/>
      <w:iCs/>
    </w:rPr>
  </w:style>
  <w:style w:type="character" w:styleId="Strong">
    <w:name w:val="Strong"/>
    <w:basedOn w:val="DefaultParagraphFont"/>
    <w:uiPriority w:val="22"/>
    <w:qFormat/>
    <w:rsid w:val="009D4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treehugger.com" TargetMode="External"/><Relationship Id="rId4" Type="http://schemas.openxmlformats.org/officeDocument/2006/relationships/webSettings" Target="webSettings.xml"/><Relationship Id="rId9" Type="http://schemas.openxmlformats.org/officeDocument/2006/relationships/hyperlink" Target="http://www.emedicinehealth.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637D8D1E54B41F5A1D59B02DC09DB21"/>
        <w:category>
          <w:name w:val="General"/>
          <w:gallery w:val="placeholder"/>
        </w:category>
        <w:types>
          <w:type w:val="bbPlcHdr"/>
        </w:types>
        <w:behaviors>
          <w:behavior w:val="content"/>
        </w:behaviors>
        <w:guid w:val="{C5748C3E-609E-412C-8ACD-83921F48175C}"/>
      </w:docPartPr>
      <w:docPartBody>
        <w:p w:rsidR="00000000" w:rsidRDefault="000603FD" w:rsidP="000603FD">
          <w:pPr>
            <w:pStyle w:val="C637D8D1E54B41F5A1D59B02DC09DB2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3FD"/>
    <w:rsid w:val="000603FD"/>
    <w:rsid w:val="009E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37D8D1E54B41F5A1D59B02DC09DB21">
    <w:name w:val="C637D8D1E54B41F5A1D59B02DC09DB21"/>
    <w:rsid w:val="000603F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37D8D1E54B41F5A1D59B02DC09DB21">
    <w:name w:val="C637D8D1E54B41F5A1D59B02DC09DB21"/>
    <w:rsid w:val="000603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6</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Why Worry – Reusable Carrier Bags</vt:lpstr>
    </vt:vector>
  </TitlesOfParts>
  <Company/>
  <LinksUpToDate>false</LinksUpToDate>
  <CharactersWithSpaces>10127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Worry – Reusable Carrier Bags</dc:title>
  <dc:creator>Elle</dc:creator>
  <cp:lastModifiedBy>Elle</cp:lastModifiedBy>
  <cp:revision>26</cp:revision>
  <dcterms:created xsi:type="dcterms:W3CDTF">2012-09-10T01:53:00Z</dcterms:created>
  <dcterms:modified xsi:type="dcterms:W3CDTF">2012-09-10T04:20:00Z</dcterms:modified>
</cp:coreProperties>
</file>